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85" w:rsidRDefault="00F466BB">
      <w:pPr>
        <w:jc w:val="center"/>
        <w:rPr>
          <w:rFonts w:ascii="Mercury Text G2" w:eastAsia="Mercury Text G2" w:hAnsi="Mercury Text G2" w:cs="Mercury Text G2"/>
        </w:rPr>
      </w:pPr>
      <w:r>
        <w:rPr>
          <w:rFonts w:ascii="Mercury Text G2" w:eastAsia="Mercury Text G2" w:hAnsi="Mercury Text G2" w:cs="Mercury Text G2"/>
          <w:noProof/>
          <w:lang w:val="en-US"/>
        </w:rPr>
        <w:drawing>
          <wp:inline distT="0" distB="0" distL="0" distR="0">
            <wp:extent cx="1624013" cy="1033463"/>
            <wp:effectExtent l="0" t="0" r="0" b="0"/>
            <wp:docPr id="2" name="image2.jpg" descr="Association of Research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ssociation of Research Libraries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2C85" w:rsidRPr="00994E53" w:rsidRDefault="00F466BB" w:rsidP="00994E53">
      <w:pPr>
        <w:pStyle w:val="Heading1"/>
      </w:pPr>
      <w:r w:rsidRPr="00994E53">
        <w:t>Building Research Questions</w:t>
      </w:r>
    </w:p>
    <w:p w:rsidR="00412C85" w:rsidRDefault="00F466BB">
      <w:r>
        <w:t xml:space="preserve">This worksheet </w:t>
      </w:r>
      <w:proofErr w:type="gramStart"/>
      <w:r>
        <w:t>can be used</w:t>
      </w:r>
      <w:proofErr w:type="gramEnd"/>
      <w:r>
        <w:t xml:space="preserve"> to draft research questions for a library assessment project. </w:t>
      </w:r>
    </w:p>
    <w:p w:rsidR="00412C85" w:rsidRPr="00994E53" w:rsidRDefault="00F466BB" w:rsidP="00994E53">
      <w:pPr>
        <w:pStyle w:val="Heading2"/>
      </w:pPr>
      <w:r w:rsidRPr="00994E53">
        <w:t>Investigating Connections</w:t>
      </w:r>
    </w:p>
    <w:p w:rsidR="00412C85" w:rsidRDefault="00F466BB">
      <w:r>
        <w:t>O</w:t>
      </w:r>
      <w:r>
        <w:t xml:space="preserve">ftentimes, </w:t>
      </w:r>
      <w:proofErr w:type="gramStart"/>
      <w:r>
        <w:t>library assessment research questions</w:t>
      </w:r>
      <w:proofErr w:type="gramEnd"/>
      <w:r>
        <w:t xml:space="preserve"> are designed to explore connections between a current or anticipated library service, resource, or space and the outcome that the library service, resource, or space is intended to achieve. </w:t>
      </w:r>
    </w:p>
    <w:p w:rsidR="00412C85" w:rsidRDefault="00F466BB">
      <w:r>
        <w:rPr>
          <w:noProof/>
          <w:lang w:val="en-US"/>
        </w:rPr>
        <w:drawing>
          <wp:anchor distT="19050" distB="19050" distL="19050" distR="19050" simplePos="0" relativeHeight="251658240" behindDoc="1" locked="0" layoutInCell="1" hidden="0" allowOverlap="1">
            <wp:simplePos x="0" y="0"/>
            <wp:positionH relativeFrom="column">
              <wp:posOffset>1619250</wp:posOffset>
            </wp:positionH>
            <wp:positionV relativeFrom="paragraph">
              <wp:posOffset>99695</wp:posOffset>
            </wp:positionV>
            <wp:extent cx="3319463" cy="2215894"/>
            <wp:effectExtent l="0" t="0" r="0" b="0"/>
            <wp:wrapTopAndBottom/>
            <wp:docPr id="1" name="image1.png" descr="Flowchart of steps: (1) outcomes for users and/or stakeholders; (2) library services, resources, facilities, etc. resulting in research ques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lowchart of steps: (1) outcomes for users and/or stakeholders; (2) library services, resources, facilities, etc. resulting in research questions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463" cy="22158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F</w:t>
      </w:r>
      <w:r>
        <w:t xml:space="preserve">or such an assessment focus, answering the following questions is useful in framing the overall project. </w:t>
      </w:r>
    </w:p>
    <w:p w:rsidR="00412C85" w:rsidRDefault="00F466BB" w:rsidP="00994E53">
      <w:pPr>
        <w:pStyle w:val="ListNumber2"/>
      </w:pPr>
      <w:r>
        <w:t>What outcome for users, not-yet users, stakeholders, partners, or colleagues is the focus of the assessment project at hand?</w:t>
      </w:r>
    </w:p>
    <w:p w:rsidR="00412C85" w:rsidRDefault="00F466BB" w:rsidP="00994E53">
      <w:pPr>
        <w:pStyle w:val="ListNumber2"/>
      </w:pPr>
      <w:r>
        <w:t>What library service, r</w:t>
      </w:r>
      <w:r>
        <w:t>esource, or space is the subject of the assessment project at hand?</w:t>
      </w:r>
    </w:p>
    <w:p w:rsidR="00412C85" w:rsidRDefault="00F466BB" w:rsidP="00994E53">
      <w:pPr>
        <w:pStyle w:val="ListNumber2"/>
      </w:pPr>
      <w:r>
        <w:t xml:space="preserve">What possible connections or linkages between #1 and #2 might be useful to understand? What verbs might be helpful in articulating those possible connections? </w:t>
      </w:r>
    </w:p>
    <w:p w:rsidR="00412C85" w:rsidRDefault="00F466BB" w:rsidP="00994E53">
      <w:pPr>
        <w:pStyle w:val="ListBullet3"/>
      </w:pPr>
      <w:r>
        <w:t>Impact?</w:t>
      </w:r>
    </w:p>
    <w:p w:rsidR="00412C85" w:rsidRDefault="00F466BB" w:rsidP="00994E53">
      <w:pPr>
        <w:pStyle w:val="ListBullet3"/>
      </w:pPr>
      <w:proofErr w:type="gramStart"/>
      <w:r>
        <w:t>Contribute to?</w:t>
      </w:r>
      <w:proofErr w:type="gramEnd"/>
    </w:p>
    <w:p w:rsidR="00412C85" w:rsidRDefault="00F466BB" w:rsidP="00994E53">
      <w:pPr>
        <w:pStyle w:val="ListBullet3"/>
      </w:pPr>
      <w:proofErr w:type="gramStart"/>
      <w:r>
        <w:t>Affect?</w:t>
      </w:r>
      <w:proofErr w:type="gramEnd"/>
    </w:p>
    <w:p w:rsidR="00412C85" w:rsidRDefault="00F466BB" w:rsidP="00994E53">
      <w:pPr>
        <w:pStyle w:val="ListBullet3"/>
      </w:pPr>
      <w:r>
        <w:t>Influence?</w:t>
      </w:r>
    </w:p>
    <w:p w:rsidR="00412C85" w:rsidRDefault="00F466BB" w:rsidP="00994E53">
      <w:pPr>
        <w:pStyle w:val="ListBullet3"/>
      </w:pPr>
      <w:proofErr w:type="gramStart"/>
      <w:r>
        <w:t>Relate to?</w:t>
      </w:r>
      <w:proofErr w:type="gramEnd"/>
      <w:r>
        <w:t xml:space="preserve"> </w:t>
      </w:r>
    </w:p>
    <w:p w:rsidR="00412C85" w:rsidRDefault="00F466BB" w:rsidP="00994E53">
      <w:pPr>
        <w:pStyle w:val="ListBullet3"/>
      </w:pPr>
      <w:r>
        <w:t>Cause?</w:t>
      </w:r>
    </w:p>
    <w:p w:rsidR="00412C85" w:rsidRDefault="00F466BB" w:rsidP="00994E53">
      <w:pPr>
        <w:pStyle w:val="ListBullet3"/>
      </w:pPr>
      <w:proofErr w:type="gramStart"/>
      <w:r>
        <w:t>Determine?</w:t>
      </w:r>
      <w:proofErr w:type="gramEnd"/>
    </w:p>
    <w:p w:rsidR="00412C85" w:rsidRDefault="00F466BB" w:rsidP="00994E53">
      <w:pPr>
        <w:pStyle w:val="ListBullet3"/>
      </w:pPr>
      <w:proofErr w:type="gramStart"/>
      <w:r>
        <w:t>Help?</w:t>
      </w:r>
      <w:proofErr w:type="gramEnd"/>
    </w:p>
    <w:p w:rsidR="00412C85" w:rsidRDefault="00F466BB" w:rsidP="00994E53">
      <w:pPr>
        <w:pStyle w:val="ListBullet3"/>
      </w:pPr>
      <w:proofErr w:type="gramStart"/>
      <w:r>
        <w:t>Correlate with?</w:t>
      </w:r>
      <w:proofErr w:type="gramEnd"/>
    </w:p>
    <w:p w:rsidR="00412C85" w:rsidRDefault="00F466BB" w:rsidP="00994E53">
      <w:pPr>
        <w:pStyle w:val="ListBullet3"/>
      </w:pPr>
      <w:r>
        <w:t>other:</w:t>
      </w:r>
    </w:p>
    <w:p w:rsidR="00412C85" w:rsidRDefault="00F466BB" w:rsidP="00994E53">
      <w:pPr>
        <w:pStyle w:val="Heading2"/>
      </w:pPr>
      <w:r>
        <w:lastRenderedPageBreak/>
        <w:t>Drafting Research Questions</w:t>
      </w:r>
    </w:p>
    <w:p w:rsidR="00412C85" w:rsidRDefault="00F466BB">
      <w:r>
        <w:t xml:space="preserve">Once the outcome, library offering, and potential connections </w:t>
      </w:r>
      <w:proofErr w:type="gramStart"/>
      <w:r>
        <w:t>are clarified</w:t>
      </w:r>
      <w:proofErr w:type="gramEnd"/>
      <w:r>
        <w:t>, the following chart can be used to draft initial library assessment-fo</w:t>
      </w:r>
      <w:r>
        <w:t>cused research questions.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412C85">
        <w:tc>
          <w:tcPr>
            <w:tcW w:w="36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Library Service,</w:t>
            </w:r>
            <w:r w:rsidR="00994E53">
              <w:rPr>
                <w:b/>
              </w:rPr>
              <w:t xml:space="preserve"> </w:t>
            </w:r>
            <w:r w:rsidR="00994E53">
              <w:rPr>
                <w:b/>
              </w:rPr>
              <w:br/>
            </w:r>
            <w:r>
              <w:rPr>
                <w:b/>
              </w:rPr>
              <w:t>Resource or Space</w:t>
            </w:r>
          </w:p>
        </w:tc>
        <w:tc>
          <w:tcPr>
            <w:tcW w:w="36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Relationship Verb</w:t>
            </w:r>
          </w:p>
        </w:tc>
        <w:tc>
          <w:tcPr>
            <w:tcW w:w="36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Intended Outcome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Does [library service, resource, or space]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 xml:space="preserve">relationship verb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outcome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In what ways does [library service, resource, or space]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 xml:space="preserve">relationship verb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outcome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To what extent does [library service, resource, or space]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 xml:space="preserve">relationship verb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outcome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How does [library service, resource, or space]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 xml:space="preserve">relationship verb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</w:pPr>
            <w:r>
              <w:t>outcome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  <w:rPr>
                <w:i/>
                <w:color w:val="0000FF"/>
              </w:rPr>
            </w:pPr>
            <w:r>
              <w:t>Example:</w:t>
            </w:r>
            <w:r>
              <w:rPr>
                <w:i/>
                <w:color w:val="0000FF"/>
              </w:rPr>
              <w:t xml:space="preserve"> In what ways does the reference desk (physical, virtual, or other)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contribute to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F466BB" w:rsidP="00994E53">
            <w:pPr>
              <w:pStyle w:val="Normal-nospaceafter"/>
              <w:rPr>
                <w:i/>
                <w:color w:val="0000FF"/>
              </w:rPr>
            </w:pPr>
            <w:proofErr w:type="gramStart"/>
            <w:r>
              <w:rPr>
                <w:i/>
                <w:color w:val="0000FF"/>
              </w:rPr>
              <w:t>improved</w:t>
            </w:r>
            <w:proofErr w:type="gramEnd"/>
            <w:r>
              <w:rPr>
                <w:i/>
                <w:color w:val="0000FF"/>
              </w:rPr>
              <w:t xml:space="preserve"> student learning or assignment grades? </w:t>
            </w: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</w:tr>
      <w:tr w:rsidR="00412C85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2C85" w:rsidRDefault="00412C85" w:rsidP="00994E53">
            <w:pPr>
              <w:pStyle w:val="Normal-nospaceafter"/>
            </w:pPr>
          </w:p>
        </w:tc>
      </w:tr>
    </w:tbl>
    <w:p w:rsidR="00412C85" w:rsidRDefault="00F466BB" w:rsidP="00994E53">
      <w:pPr>
        <w:pStyle w:val="Heading2-spacebefore"/>
      </w:pPr>
      <w:r>
        <w:t>Checking Drafted Questions</w:t>
      </w:r>
    </w:p>
    <w:p w:rsidR="00412C85" w:rsidRDefault="00F466BB">
      <w:r>
        <w:t>Once a research question has been drafted for an assessment project (using the process above or some other means), library assessment practitioners might wish to e</w:t>
      </w:r>
      <w:r w:rsidR="00994E53">
        <w:t>xplore the following questions.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>Is the question worth answering? Why? What is the purpose of answering it?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 xml:space="preserve">What evidence, data, or other information will help answer the </w:t>
      </w:r>
      <w:proofErr w:type="gramStart"/>
      <w:r>
        <w:t>question?</w:t>
      </w:r>
      <w:proofErr w:type="gramEnd"/>
      <w:r>
        <w:t xml:space="preserve"> How can you obtain/access that information?</w:t>
      </w:r>
      <w:bookmarkStart w:id="0" w:name="_GoBack"/>
      <w:bookmarkEnd w:id="0"/>
    </w:p>
    <w:p w:rsidR="00412C85" w:rsidRDefault="00F466BB" w:rsidP="00994E53">
      <w:pPr>
        <w:pStyle w:val="ListNumber2"/>
        <w:numPr>
          <w:ilvl w:val="0"/>
          <w:numId w:val="12"/>
        </w:numPr>
      </w:pPr>
      <w:r>
        <w:t>What do other studies that answer this question include or loo</w:t>
      </w:r>
      <w:r>
        <w:t>k like?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 xml:space="preserve">What research methods would yield the evidence, data, or other information you need? What are the advantages and disadvantages of each research method you are considering? </w:t>
      </w:r>
      <w:proofErr w:type="gramStart"/>
      <w:r>
        <w:t>Might multiple methods be used</w:t>
      </w:r>
      <w:proofErr w:type="gramEnd"/>
      <w:r>
        <w:t xml:space="preserve"> in tandem?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>What user groups, partners, coll</w:t>
      </w:r>
      <w:r>
        <w:t>aborators, or stakeholders should be involved?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 xml:space="preserve">What do you expect </w:t>
      </w:r>
      <w:r w:rsidR="00994E53">
        <w:t>to result from this assessment?</w:t>
      </w:r>
    </w:p>
    <w:p w:rsidR="00412C85" w:rsidRDefault="00F466BB" w:rsidP="00994E53">
      <w:pPr>
        <w:pStyle w:val="ListNumber2"/>
        <w:numPr>
          <w:ilvl w:val="0"/>
          <w:numId w:val="12"/>
        </w:numPr>
      </w:pPr>
      <w:r>
        <w:t>Who will need or want to know about the results? How do you expect them to act on the results?</w:t>
      </w:r>
    </w:p>
    <w:sectPr w:rsidR="00412C8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C8D3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F072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7A4D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616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3482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F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A041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64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36D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32E8C"/>
    <w:multiLevelType w:val="multilevel"/>
    <w:tmpl w:val="EAFC5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85"/>
    <w:rsid w:val="00412C85"/>
    <w:rsid w:val="00994E53"/>
    <w:rsid w:val="00F4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9EFC"/>
  <w15:docId w15:val="{7F523624-160A-4F37-B299-21EE57C8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4E53"/>
    <w:pPr>
      <w:spacing w:after="240"/>
    </w:pPr>
  </w:style>
  <w:style w:type="paragraph" w:styleId="Heading1">
    <w:name w:val="heading 1"/>
    <w:basedOn w:val="Normal"/>
    <w:next w:val="Normal"/>
    <w:rsid w:val="00994E53"/>
    <w:pPr>
      <w:spacing w:before="240"/>
      <w:jc w:val="center"/>
      <w:outlineLvl w:val="0"/>
    </w:pPr>
    <w:rPr>
      <w:rFonts w:ascii="Mercury Text G2" w:eastAsia="Mercury Text G2" w:hAnsi="Mercury Text G2" w:cs="Mercury Text G2"/>
      <w:b/>
      <w:sz w:val="32"/>
      <w:szCs w:val="32"/>
    </w:rPr>
  </w:style>
  <w:style w:type="paragraph" w:styleId="Heading2">
    <w:name w:val="heading 2"/>
    <w:basedOn w:val="Normal"/>
    <w:next w:val="Normal"/>
    <w:rsid w:val="00994E53"/>
    <w:pPr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Number2">
    <w:name w:val="List Number 2"/>
    <w:basedOn w:val="Normal"/>
    <w:uiPriority w:val="99"/>
    <w:unhideWhenUsed/>
    <w:rsid w:val="00994E53"/>
    <w:pPr>
      <w:numPr>
        <w:numId w:val="8"/>
      </w:numPr>
    </w:pPr>
  </w:style>
  <w:style w:type="paragraph" w:styleId="ListBullet3">
    <w:name w:val="List Bullet 3"/>
    <w:basedOn w:val="Normal"/>
    <w:uiPriority w:val="99"/>
    <w:unhideWhenUsed/>
    <w:rsid w:val="00994E53"/>
    <w:pPr>
      <w:numPr>
        <w:numId w:val="4"/>
      </w:numPr>
      <w:ind w:left="1440"/>
      <w:contextualSpacing/>
    </w:pPr>
  </w:style>
  <w:style w:type="paragraph" w:customStyle="1" w:styleId="Heading2-spacebefore">
    <w:name w:val="Heading 2 - space before"/>
    <w:basedOn w:val="Heading2"/>
    <w:rsid w:val="00994E53"/>
    <w:pPr>
      <w:spacing w:before="240"/>
    </w:pPr>
  </w:style>
  <w:style w:type="paragraph" w:customStyle="1" w:styleId="Normal-nospaceafter">
    <w:name w:val="Normal - no space after"/>
    <w:basedOn w:val="Normal"/>
    <w:rsid w:val="00994E5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Research Questions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Research Questions</dc:title>
  <dc:subject>Worksheet accompanying the "Identifying Research Questions" video, part of the Research and Assessment Cycle Toolkit.</dc:subject>
  <dc:creator>Megan Oakleaf</dc:creator>
  <cp:keywords>library assessment; building research questions worksheet; research questions; drafting research questions; library services; assessment outcomes</cp:keywords>
  <cp:lastModifiedBy>arl-admin</cp:lastModifiedBy>
  <cp:revision>3</cp:revision>
  <dcterms:created xsi:type="dcterms:W3CDTF">2022-09-01T15:51:00Z</dcterms:created>
  <dcterms:modified xsi:type="dcterms:W3CDTF">2022-09-01T16:04:00Z</dcterms:modified>
</cp:coreProperties>
</file>