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1C60" w:rsidRPr="00091C60" w:rsidRDefault="00091C60" w:rsidP="00091C60">
      <w:pPr>
        <w:pStyle w:val="Heading1"/>
      </w:pPr>
      <w:r w:rsidRPr="00091C60">
        <w:t>Considering Active, Rather than P</w:t>
      </w:r>
      <w:bookmarkStart w:id="0" w:name="_GoBack"/>
      <w:bookmarkEnd w:id="0"/>
      <w:r w:rsidRPr="00091C60">
        <w:t>assive, Library Services, Resources, and Spaces</w:t>
      </w:r>
    </w:p>
    <w:p w:rsidR="00091C60" w:rsidRDefault="00091C60" w:rsidP="00091C60">
      <w:r>
        <w:t xml:space="preserve">This worksheet </w:t>
      </w:r>
      <w:proofErr w:type="gramStart"/>
      <w:r>
        <w:t>can be used</w:t>
      </w:r>
      <w:proofErr w:type="gramEnd"/>
      <w:r>
        <w:t xml:space="preserve"> to help envision ways in which library services, resources, and spaces can more intentionally support users in achieving their goals. </w:t>
      </w:r>
    </w:p>
    <w:p w:rsidR="00091C60" w:rsidRDefault="00091C60" w:rsidP="00091C60">
      <w:pPr>
        <w:pStyle w:val="Heading2"/>
      </w:pPr>
      <w:r>
        <w:t>Focus on the Outcome, Keep the End in Mind</w:t>
      </w:r>
    </w:p>
    <w:p w:rsidR="00091C60" w:rsidRDefault="00091C60" w:rsidP="00091C60">
      <w:r>
        <w:t xml:space="preserve">Library services, resources, and spaces </w:t>
      </w:r>
      <w:proofErr w:type="gramStart"/>
      <w:r>
        <w:t>are typically designed</w:t>
      </w:r>
      <w:proofErr w:type="gramEnd"/>
      <w:r>
        <w:t xml:space="preserve"> to facilitate some outcome for users engaging with them. Articulating those outcomes clearly and concretely can point the way to 1) assessments that help reveal to what degree the library offerings are achieving those aims and 2) concrete steps for actively, rather than passively, ensuring that those outcomes are attainable. </w:t>
      </w:r>
    </w:p>
    <w:tbl>
      <w:tblPr>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36"/>
        <w:gridCol w:w="5182"/>
        <w:gridCol w:w="5182"/>
      </w:tblGrid>
      <w:tr w:rsidR="00091C60" w:rsidTr="00091C60">
        <w:trPr>
          <w:tblHeader/>
        </w:trPr>
        <w:tc>
          <w:tcPr>
            <w:tcW w:w="4036" w:type="dxa"/>
            <w:shd w:val="clear" w:color="auto" w:fill="C9DAF8"/>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jc w:val="center"/>
              <w:rPr>
                <w:b/>
              </w:rPr>
            </w:pPr>
            <w:r>
              <w:rPr>
                <w:b/>
              </w:rPr>
              <w:t>Library Service, Resource, or Space</w:t>
            </w:r>
          </w:p>
        </w:tc>
        <w:tc>
          <w:tcPr>
            <w:tcW w:w="5182" w:type="dxa"/>
            <w:shd w:val="clear" w:color="auto" w:fill="C9DAF8"/>
            <w:tcMar>
              <w:top w:w="100" w:type="dxa"/>
              <w:left w:w="100" w:type="dxa"/>
              <w:bottom w:w="100" w:type="dxa"/>
              <w:right w:w="100" w:type="dxa"/>
            </w:tcMar>
          </w:tcPr>
          <w:p w:rsidR="00091C60" w:rsidRPr="00091C60" w:rsidRDefault="00091C60" w:rsidP="00091C60">
            <w:pPr>
              <w:widowControl w:val="0"/>
              <w:pBdr>
                <w:top w:val="nil"/>
                <w:left w:val="nil"/>
                <w:bottom w:val="nil"/>
                <w:right w:val="nil"/>
                <w:between w:val="nil"/>
              </w:pBdr>
              <w:spacing w:line="240" w:lineRule="auto"/>
              <w:jc w:val="center"/>
              <w:rPr>
                <w:b/>
              </w:rPr>
            </w:pPr>
            <w:r>
              <w:rPr>
                <w:b/>
              </w:rPr>
              <w:t>Intended Outcome</w:t>
            </w:r>
            <w:r>
              <w:rPr>
                <w:b/>
              </w:rPr>
              <w:br/>
            </w:r>
            <w:r>
              <w:rPr>
                <w:i/>
              </w:rPr>
              <w:t xml:space="preserve">What is the user intended to know, do, or feel </w:t>
            </w:r>
            <w:proofErr w:type="gramStart"/>
            <w:r>
              <w:rPr>
                <w:i/>
              </w:rPr>
              <w:t>as a consequence</w:t>
            </w:r>
            <w:proofErr w:type="gramEnd"/>
            <w:r>
              <w:rPr>
                <w:i/>
              </w:rPr>
              <w:t xml:space="preserve"> of engagement?</w:t>
            </w:r>
          </w:p>
        </w:tc>
        <w:tc>
          <w:tcPr>
            <w:tcW w:w="5182" w:type="dxa"/>
            <w:shd w:val="clear" w:color="auto" w:fill="C9DAF8"/>
            <w:tcMar>
              <w:top w:w="100" w:type="dxa"/>
              <w:left w:w="100" w:type="dxa"/>
              <w:bottom w:w="100" w:type="dxa"/>
              <w:right w:w="100" w:type="dxa"/>
            </w:tcMar>
          </w:tcPr>
          <w:p w:rsidR="00091C60" w:rsidRDefault="00091C60" w:rsidP="00091C60">
            <w:pPr>
              <w:widowControl w:val="0"/>
              <w:pBdr>
                <w:top w:val="nil"/>
                <w:left w:val="nil"/>
                <w:bottom w:val="nil"/>
                <w:right w:val="nil"/>
                <w:between w:val="nil"/>
              </w:pBdr>
              <w:spacing w:line="240" w:lineRule="auto"/>
              <w:jc w:val="center"/>
              <w:rPr>
                <w:b/>
              </w:rPr>
            </w:pPr>
            <w:r>
              <w:rPr>
                <w:b/>
              </w:rPr>
              <w:t>Ways the Service, Resource or Space</w:t>
            </w:r>
            <w:r>
              <w:rPr>
                <w:b/>
              </w:rPr>
              <w:t xml:space="preserve"> </w:t>
            </w:r>
            <w:r>
              <w:rPr>
                <w:b/>
              </w:rPr>
              <w:br/>
              <w:t xml:space="preserve">Can Actively Increase Support </w:t>
            </w:r>
            <w:r>
              <w:rPr>
                <w:b/>
              </w:rPr>
              <w:br/>
            </w:r>
            <w:r>
              <w:rPr>
                <w:b/>
              </w:rPr>
              <w:t>for Outcome Attainment</w:t>
            </w:r>
          </w:p>
        </w:tc>
      </w:tr>
      <w:tr w:rsidR="00091C60" w:rsidTr="00091C60">
        <w:tc>
          <w:tcPr>
            <w:tcW w:w="4036"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rPr>
                <w:i/>
                <w:color w:val="0000FF"/>
              </w:rPr>
            </w:pPr>
            <w:r>
              <w:t xml:space="preserve">Example: </w:t>
            </w:r>
            <w:r>
              <w:rPr>
                <w:i/>
                <w:color w:val="0000FF"/>
              </w:rPr>
              <w:t>Reference Service Point</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rPr>
                <w:i/>
                <w:color w:val="0000FF"/>
              </w:rPr>
            </w:pPr>
            <w:r>
              <w:t xml:space="preserve">Example: </w:t>
            </w:r>
            <w:r>
              <w:rPr>
                <w:i/>
                <w:color w:val="0000FF"/>
              </w:rPr>
              <w:t xml:space="preserve">Users will feel more connected to supportive services, understand that the institution wants them to succeed, and establish rapport with individuals in the library committed to supporting their academic journeys.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r>
              <w:t xml:space="preserve">Example: </w:t>
            </w:r>
          </w:p>
          <w:p w:rsidR="00091C60" w:rsidRDefault="00091C60" w:rsidP="00091C60">
            <w:pPr>
              <w:widowControl w:val="0"/>
              <w:numPr>
                <w:ilvl w:val="0"/>
                <w:numId w:val="1"/>
              </w:numPr>
              <w:pBdr>
                <w:top w:val="nil"/>
                <w:left w:val="nil"/>
                <w:bottom w:val="nil"/>
                <w:right w:val="nil"/>
                <w:between w:val="nil"/>
              </w:pBdr>
              <w:spacing w:after="0" w:line="240" w:lineRule="auto"/>
              <w:rPr>
                <w:i/>
                <w:color w:val="0000FF"/>
              </w:rPr>
            </w:pPr>
            <w:r>
              <w:rPr>
                <w:i/>
                <w:color w:val="0000FF"/>
              </w:rPr>
              <w:t xml:space="preserve">Reference staff will engage in ongoing cultural competence training and </w:t>
            </w:r>
            <w:proofErr w:type="gramStart"/>
            <w:r>
              <w:rPr>
                <w:i/>
                <w:color w:val="0000FF"/>
              </w:rPr>
              <w:t>peer-coaching</w:t>
            </w:r>
            <w:proofErr w:type="gramEnd"/>
            <w:r>
              <w:rPr>
                <w:i/>
                <w:color w:val="0000FF"/>
              </w:rPr>
              <w:t xml:space="preserve">. </w:t>
            </w:r>
          </w:p>
          <w:p w:rsidR="00091C60" w:rsidRDefault="00091C60" w:rsidP="00091C60">
            <w:pPr>
              <w:widowControl w:val="0"/>
              <w:numPr>
                <w:ilvl w:val="0"/>
                <w:numId w:val="1"/>
              </w:numPr>
              <w:pBdr>
                <w:top w:val="nil"/>
                <w:left w:val="nil"/>
                <w:bottom w:val="nil"/>
                <w:right w:val="nil"/>
                <w:between w:val="nil"/>
              </w:pBdr>
              <w:spacing w:after="0" w:line="240" w:lineRule="auto"/>
              <w:rPr>
                <w:i/>
                <w:color w:val="0000FF"/>
              </w:rPr>
            </w:pPr>
            <w:r>
              <w:rPr>
                <w:i/>
                <w:color w:val="0000FF"/>
              </w:rPr>
              <w:t xml:space="preserve">Reference policies </w:t>
            </w:r>
            <w:proofErr w:type="gramStart"/>
            <w:r>
              <w:rPr>
                <w:i/>
                <w:color w:val="0000FF"/>
              </w:rPr>
              <w:t>will be revised</w:t>
            </w:r>
            <w:proofErr w:type="gramEnd"/>
            <w:r>
              <w:rPr>
                <w:i/>
                <w:color w:val="0000FF"/>
              </w:rPr>
              <w:t xml:space="preserve"> to underscore the importance of establishing rapport and maintaining connections with individual students. </w:t>
            </w:r>
          </w:p>
          <w:p w:rsidR="00091C60" w:rsidRDefault="00091C60" w:rsidP="00091C60">
            <w:pPr>
              <w:widowControl w:val="0"/>
              <w:numPr>
                <w:ilvl w:val="0"/>
                <w:numId w:val="1"/>
              </w:numPr>
              <w:pBdr>
                <w:top w:val="nil"/>
                <w:left w:val="nil"/>
                <w:bottom w:val="nil"/>
                <w:right w:val="nil"/>
                <w:between w:val="nil"/>
              </w:pBdr>
              <w:spacing w:after="0" w:line="240" w:lineRule="auto"/>
              <w:rPr>
                <w:i/>
                <w:color w:val="0000FF"/>
              </w:rPr>
            </w:pPr>
            <w:r>
              <w:rPr>
                <w:i/>
                <w:color w:val="0000FF"/>
              </w:rPr>
              <w:t xml:space="preserve">A CRM </w:t>
            </w:r>
            <w:proofErr w:type="gramStart"/>
            <w:r>
              <w:rPr>
                <w:i/>
                <w:color w:val="0000FF"/>
              </w:rPr>
              <w:t>will be investigated</w:t>
            </w:r>
            <w:proofErr w:type="gramEnd"/>
            <w:r>
              <w:rPr>
                <w:i/>
                <w:color w:val="0000FF"/>
              </w:rPr>
              <w:t xml:space="preserve"> to support ongoing communication with students who opt in to ongoing library dialogue.</w:t>
            </w:r>
          </w:p>
          <w:p w:rsidR="00091C60" w:rsidRDefault="00091C60" w:rsidP="00091C60">
            <w:pPr>
              <w:widowControl w:val="0"/>
              <w:numPr>
                <w:ilvl w:val="0"/>
                <w:numId w:val="1"/>
              </w:numPr>
              <w:pBdr>
                <w:top w:val="nil"/>
                <w:left w:val="nil"/>
                <w:bottom w:val="nil"/>
                <w:right w:val="nil"/>
                <w:between w:val="nil"/>
              </w:pBdr>
              <w:spacing w:after="0" w:line="240" w:lineRule="auto"/>
              <w:rPr>
                <w:i/>
                <w:color w:val="0000FF"/>
              </w:rPr>
            </w:pPr>
            <w:r>
              <w:rPr>
                <w:i/>
                <w:color w:val="0000FF"/>
              </w:rPr>
              <w:t>Reference staff will, for students who opt in, connect with academic faculty and advisors via the institutional student support system.</w:t>
            </w:r>
          </w:p>
        </w:tc>
      </w:tr>
      <w:tr w:rsidR="00091C60" w:rsidTr="00091C60">
        <w:tc>
          <w:tcPr>
            <w:tcW w:w="4036"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r>
              <w:lastRenderedPageBreak/>
              <w:t xml:space="preserve">Other: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r>
              <w:t xml:space="preserve">The user will be able to _____________________.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p>
        </w:tc>
      </w:tr>
      <w:tr w:rsidR="00091C60" w:rsidTr="00091C60">
        <w:tc>
          <w:tcPr>
            <w:tcW w:w="4036"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Other: </w:t>
            </w:r>
          </w:p>
        </w:tc>
        <w:tc>
          <w:tcPr>
            <w:tcW w:w="5182"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The user will be able to _____________________.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p>
        </w:tc>
      </w:tr>
      <w:tr w:rsidR="00091C60" w:rsidTr="00091C60">
        <w:tc>
          <w:tcPr>
            <w:tcW w:w="4036"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Other: </w:t>
            </w:r>
          </w:p>
        </w:tc>
        <w:tc>
          <w:tcPr>
            <w:tcW w:w="5182"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The user will be able to _____________________.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p>
        </w:tc>
      </w:tr>
      <w:tr w:rsidR="00091C60" w:rsidTr="00091C60">
        <w:tc>
          <w:tcPr>
            <w:tcW w:w="4036"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Other: </w:t>
            </w:r>
          </w:p>
        </w:tc>
        <w:tc>
          <w:tcPr>
            <w:tcW w:w="5182" w:type="dxa"/>
            <w:shd w:val="clear" w:color="auto" w:fill="auto"/>
            <w:tcMar>
              <w:top w:w="100" w:type="dxa"/>
              <w:left w:w="100" w:type="dxa"/>
              <w:bottom w:w="100" w:type="dxa"/>
              <w:right w:w="100" w:type="dxa"/>
            </w:tcMar>
          </w:tcPr>
          <w:p w:rsidR="00091C60" w:rsidRDefault="00091C60" w:rsidP="00C85E2A">
            <w:pPr>
              <w:widowControl w:val="0"/>
              <w:spacing w:line="240" w:lineRule="auto"/>
            </w:pPr>
            <w:r>
              <w:t xml:space="preserve">The user will be able to _____________________. </w:t>
            </w:r>
          </w:p>
        </w:tc>
        <w:tc>
          <w:tcPr>
            <w:tcW w:w="5182" w:type="dxa"/>
            <w:shd w:val="clear" w:color="auto" w:fill="auto"/>
            <w:tcMar>
              <w:top w:w="100" w:type="dxa"/>
              <w:left w:w="100" w:type="dxa"/>
              <w:bottom w:w="100" w:type="dxa"/>
              <w:right w:w="100" w:type="dxa"/>
            </w:tcMar>
          </w:tcPr>
          <w:p w:rsidR="00091C60" w:rsidRDefault="00091C60" w:rsidP="00C85E2A">
            <w:pPr>
              <w:widowControl w:val="0"/>
              <w:pBdr>
                <w:top w:val="nil"/>
                <w:left w:val="nil"/>
                <w:bottom w:val="nil"/>
                <w:right w:val="nil"/>
                <w:between w:val="nil"/>
              </w:pBdr>
              <w:spacing w:line="240" w:lineRule="auto"/>
            </w:pPr>
          </w:p>
        </w:tc>
      </w:tr>
    </w:tbl>
    <w:p w:rsidR="00A44248" w:rsidRDefault="00A44248" w:rsidP="00091C60"/>
    <w:sectPr w:rsidR="00A44248" w:rsidSect="00C14389">
      <w:headerReference w:type="default" r:id="rId7"/>
      <w:headerReference w:type="first" r:id="rId8"/>
      <w:pgSz w:w="15840" w:h="12240" w:orient="landscape"/>
      <w:pgMar w:top="720" w:right="720" w:bottom="720" w:left="7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48" w:rsidRDefault="00E45348" w:rsidP="00C14389">
      <w:pPr>
        <w:spacing w:after="0" w:line="240" w:lineRule="auto"/>
      </w:pPr>
      <w:r>
        <w:separator/>
      </w:r>
    </w:p>
  </w:endnote>
  <w:endnote w:type="continuationSeparator" w:id="0">
    <w:p w:rsidR="00E45348" w:rsidRDefault="00E45348" w:rsidP="00C14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cury Text G2">
    <w:altName w:val="Calibri"/>
    <w:panose1 w:val="02000603070000020004"/>
    <w:charset w:val="00"/>
    <w:family w:val="modern"/>
    <w:notTrueType/>
    <w:pitch w:val="variable"/>
    <w:sig w:usb0="00000087" w:usb1="00000000" w:usb2="00000000" w:usb3="00000000" w:csb0="0000000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48" w:rsidRDefault="00E45348" w:rsidP="00C14389">
      <w:pPr>
        <w:spacing w:after="0" w:line="240" w:lineRule="auto"/>
      </w:pPr>
      <w:r>
        <w:separator/>
      </w:r>
    </w:p>
  </w:footnote>
  <w:footnote w:type="continuationSeparator" w:id="0">
    <w:p w:rsidR="00E45348" w:rsidRDefault="00E45348" w:rsidP="00C14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89" w:rsidRDefault="00C14389" w:rsidP="00C1438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89" w:rsidRDefault="00C14389" w:rsidP="00C14389">
    <w:pPr>
      <w:pStyle w:val="Header"/>
      <w:jc w:val="center"/>
    </w:pPr>
    <w:r>
      <w:rPr>
        <w:rFonts w:ascii="Mercury Text G2" w:eastAsia="Mercury Text G2" w:hAnsi="Mercury Text G2" w:cs="Mercury Text G2"/>
        <w:noProof/>
        <w:lang w:val="en-US"/>
      </w:rPr>
      <w:drawing>
        <wp:inline distT="0" distB="0" distL="0" distR="0" wp14:anchorId="28433A93" wp14:editId="362AEBF9">
          <wp:extent cx="1624013" cy="1033463"/>
          <wp:effectExtent l="0" t="0" r="0" b="0"/>
          <wp:docPr id="9" name="image1.jpg" descr="Association of Research Libraries logo."/>
          <wp:cNvGraphicFramePr/>
          <a:graphic xmlns:a="http://schemas.openxmlformats.org/drawingml/2006/main">
            <a:graphicData uri="http://schemas.openxmlformats.org/drawingml/2006/picture">
              <pic:pic xmlns:pic="http://schemas.openxmlformats.org/drawingml/2006/picture">
                <pic:nvPicPr>
                  <pic:cNvPr id="0" name="image1.jpg" descr="Association of Research Libraries logo"/>
                  <pic:cNvPicPr preferRelativeResize="0"/>
                </pic:nvPicPr>
                <pic:blipFill>
                  <a:blip r:embed="rId1"/>
                  <a:srcRect/>
                  <a:stretch>
                    <a:fillRect/>
                  </a:stretch>
                </pic:blipFill>
                <pic:spPr>
                  <a:xfrm>
                    <a:off x="0" y="0"/>
                    <a:ext cx="1624013" cy="103346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12428"/>
    <w:multiLevelType w:val="multilevel"/>
    <w:tmpl w:val="9BFC8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C60"/>
    <w:rsid w:val="00091C60"/>
    <w:rsid w:val="000B30B7"/>
    <w:rsid w:val="005F4102"/>
    <w:rsid w:val="007674FF"/>
    <w:rsid w:val="00A44248"/>
    <w:rsid w:val="00AB7BB5"/>
    <w:rsid w:val="00B42687"/>
    <w:rsid w:val="00C14389"/>
    <w:rsid w:val="00E45348"/>
    <w:rsid w:val="00FE7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B31CF"/>
  <w15:docId w15:val="{F7C3DE02-93A9-4F43-8C8A-2EAC9744D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14389"/>
    <w:pPr>
      <w:spacing w:after="240"/>
    </w:pPr>
  </w:style>
  <w:style w:type="paragraph" w:styleId="Heading1">
    <w:name w:val="heading 1"/>
    <w:basedOn w:val="Normal"/>
    <w:next w:val="Normal"/>
    <w:rsid w:val="00C14389"/>
    <w:pPr>
      <w:spacing w:before="240"/>
      <w:jc w:val="center"/>
      <w:outlineLvl w:val="0"/>
    </w:pPr>
    <w:rPr>
      <w:rFonts w:ascii="Mercury Text G2" w:eastAsia="Mercury Text G2" w:hAnsi="Mercury Text G2" w:cs="Mercury Text G2"/>
      <w:b/>
      <w:sz w:val="32"/>
      <w:szCs w:val="32"/>
    </w:rPr>
  </w:style>
  <w:style w:type="paragraph" w:styleId="Heading2">
    <w:name w:val="heading 2"/>
    <w:basedOn w:val="Normal"/>
    <w:next w:val="Normal"/>
    <w:rsid w:val="00C14389"/>
    <w:pPr>
      <w:outlineLvl w:val="1"/>
    </w:pPr>
    <w:rPr>
      <w:b/>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14389"/>
    <w:pPr>
      <w:tabs>
        <w:tab w:val="center" w:pos="4680"/>
        <w:tab w:val="right" w:pos="9360"/>
      </w:tabs>
      <w:spacing w:line="240" w:lineRule="auto"/>
    </w:pPr>
  </w:style>
  <w:style w:type="character" w:customStyle="1" w:styleId="HeaderChar">
    <w:name w:val="Header Char"/>
    <w:basedOn w:val="DefaultParagraphFont"/>
    <w:link w:val="Header"/>
    <w:uiPriority w:val="99"/>
    <w:rsid w:val="00C14389"/>
  </w:style>
  <w:style w:type="paragraph" w:styleId="Footer">
    <w:name w:val="footer"/>
    <w:basedOn w:val="Normal"/>
    <w:link w:val="FooterChar"/>
    <w:uiPriority w:val="99"/>
    <w:unhideWhenUsed/>
    <w:rsid w:val="00C14389"/>
    <w:pPr>
      <w:tabs>
        <w:tab w:val="center" w:pos="4680"/>
        <w:tab w:val="right" w:pos="9360"/>
      </w:tabs>
      <w:spacing w:line="240" w:lineRule="auto"/>
    </w:pPr>
  </w:style>
  <w:style w:type="character" w:customStyle="1" w:styleId="FooterChar">
    <w:name w:val="Footer Char"/>
    <w:basedOn w:val="DefaultParagraphFont"/>
    <w:link w:val="Footer"/>
    <w:uiPriority w:val="99"/>
    <w:rsid w:val="00C14389"/>
  </w:style>
  <w:style w:type="paragraph" w:customStyle="1" w:styleId="Normal-nospaceafter">
    <w:name w:val="Normal - no space after"/>
    <w:basedOn w:val="Normal"/>
    <w:rsid w:val="00C14389"/>
    <w:pPr>
      <w:widowControl w:val="0"/>
      <w:pBdr>
        <w:top w:val="nil"/>
        <w:left w:val="nil"/>
        <w:bottom w:val="nil"/>
        <w:right w:val="nil"/>
        <w:between w:val="nil"/>
      </w:pBdr>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l-admin\Desktop\Work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Worksheet-Template</Template>
  <TotalTime>4</TotalTime>
  <Pages>2</Pages>
  <Words>281</Words>
  <Characters>1605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Considering Active, Rather than Passive, Library Services, Resources, and Spaces</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Considering Active, Rather than Passive, Library Services, Resources, and Spaces</dc:title>
  <dc:subject>Worksheet accompanying the video, "Anticipating How Knowing Will Lead to Action," part of the Research and Assessment Cycle Toolkit.</dc:subject>
  <dc:creator>Megan Oakleaf</dc:creator>
  <cp:keywords>library assessment; outcomes; library services; library spaces; library assessment worksheet; library servies worksheet</cp:keywords>
  <cp:lastModifiedBy>arl-admin</cp:lastModifiedBy>
  <cp:revision>2</cp:revision>
  <dcterms:created xsi:type="dcterms:W3CDTF">2022-09-01T15:41:00Z</dcterms:created>
  <dcterms:modified xsi:type="dcterms:W3CDTF">2022-09-01T15:45:00Z</dcterms:modified>
</cp:coreProperties>
</file>