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85" w:rsidRDefault="000D22B2">
      <w:pPr>
        <w:jc w:val="center"/>
        <w:rPr>
          <w:rFonts w:ascii="Mercury Text G2" w:eastAsia="Mercury Text G2" w:hAnsi="Mercury Text G2" w:cs="Mercury Text G2"/>
        </w:rPr>
      </w:pPr>
      <w:r>
        <w:rPr>
          <w:rFonts w:ascii="Mercury Text G2" w:eastAsia="Mercury Text G2" w:hAnsi="Mercury Text G2" w:cs="Mercury Text G2"/>
          <w:noProof/>
          <w:lang w:val="en-US"/>
        </w:rPr>
        <w:drawing>
          <wp:inline distT="0" distB="0" distL="0" distR="0">
            <wp:extent cx="1624013" cy="1033463"/>
            <wp:effectExtent l="0" t="0" r="0" b="0"/>
            <wp:docPr id="2" name="image2.jpg" descr="Association of Research Libraries logo"/>
            <wp:cNvGraphicFramePr/>
            <a:graphic xmlns:a="http://schemas.openxmlformats.org/drawingml/2006/main">
              <a:graphicData uri="http://schemas.openxmlformats.org/drawingml/2006/picture">
                <pic:pic xmlns:pic="http://schemas.openxmlformats.org/drawingml/2006/picture">
                  <pic:nvPicPr>
                    <pic:cNvPr id="0" name="image2.jpg" descr="Association of Research Libraries logo"/>
                    <pic:cNvPicPr preferRelativeResize="0"/>
                  </pic:nvPicPr>
                  <pic:blipFill>
                    <a:blip r:embed="rId7"/>
                    <a:srcRect/>
                    <a:stretch>
                      <a:fillRect/>
                    </a:stretch>
                  </pic:blipFill>
                  <pic:spPr>
                    <a:xfrm>
                      <a:off x="0" y="0"/>
                      <a:ext cx="1624013" cy="1033463"/>
                    </a:xfrm>
                    <a:prstGeom prst="rect">
                      <a:avLst/>
                    </a:prstGeom>
                    <a:ln/>
                  </pic:spPr>
                </pic:pic>
              </a:graphicData>
            </a:graphic>
          </wp:inline>
        </w:drawing>
      </w:r>
    </w:p>
    <w:p w:rsidR="00412C85" w:rsidRPr="00994E53" w:rsidRDefault="00320EF0" w:rsidP="00994E53">
      <w:pPr>
        <w:pStyle w:val="Heading1"/>
      </w:pPr>
      <w:r>
        <w:t>Identifying Audiences and Messages</w:t>
      </w:r>
    </w:p>
    <w:p w:rsidR="00320EF0" w:rsidRPr="00320EF0" w:rsidRDefault="00320EF0" w:rsidP="00320EF0">
      <w:r w:rsidRPr="00320EF0">
        <w:t xml:space="preserve">This worksheet can be used to </w:t>
      </w:r>
      <w:proofErr w:type="gramStart"/>
      <w:r w:rsidRPr="00320EF0">
        <w:t>craft</w:t>
      </w:r>
      <w:proofErr w:type="gramEnd"/>
      <w:r w:rsidRPr="00320EF0">
        <w:t xml:space="preserve"> a plan for sharing library assessment results with users, stakeholders, partners, colleagues, and others. </w:t>
      </w:r>
    </w:p>
    <w:p w:rsidR="00412C85" w:rsidRPr="00994E53" w:rsidRDefault="00320EF0" w:rsidP="00994E53">
      <w:pPr>
        <w:pStyle w:val="Heading2"/>
      </w:pPr>
      <w:r>
        <w:t>Identifying Audiences</w:t>
      </w:r>
    </w:p>
    <w:p w:rsidR="00412C85" w:rsidRDefault="00320EF0">
      <w:r w:rsidRPr="00320EF0">
        <w:t xml:space="preserve">Library assessment results may be relevant to a number of audiences. When sharing results, </w:t>
      </w:r>
      <w:proofErr w:type="gramStart"/>
      <w:r w:rsidRPr="00320EF0">
        <w:t>it’s</w:t>
      </w:r>
      <w:proofErr w:type="gramEnd"/>
      <w:r w:rsidRPr="00320EF0">
        <w:t xml:space="preserve"> important to understand clearly the needs, interests, goals, and priorities of the intended audience.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1740"/>
        <w:gridCol w:w="1950"/>
        <w:gridCol w:w="1980"/>
        <w:gridCol w:w="2985"/>
      </w:tblGrid>
      <w:tr w:rsidR="00320EF0" w:rsidTr="00320EF0">
        <w:trPr>
          <w:tblHeader/>
        </w:trPr>
        <w:tc>
          <w:tcPr>
            <w:tcW w:w="2145"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Who is the broad audience for the assessment results in hand?</w:t>
            </w:r>
          </w:p>
        </w:tc>
        <w:tc>
          <w:tcPr>
            <w:tcW w:w="1740"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 xml:space="preserve">What more targeted or segmented groups exist within the broad audience? </w:t>
            </w:r>
          </w:p>
        </w:tc>
        <w:tc>
          <w:tcPr>
            <w:tcW w:w="1950"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 xml:space="preserve">Is the audience internal or external to the library? What implications does that position with regard to the library create? </w:t>
            </w:r>
          </w:p>
        </w:tc>
        <w:tc>
          <w:tcPr>
            <w:tcW w:w="1980"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 xml:space="preserve">Was the audience included from the start of the assessment project? At what milestones or touch points was the audience included? </w:t>
            </w:r>
          </w:p>
        </w:tc>
        <w:tc>
          <w:tcPr>
            <w:tcW w:w="2985"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What needs, interests, goals, or priorities does this audience have that is relevant or related to the assessment results?</w:t>
            </w:r>
          </w:p>
        </w:tc>
      </w:tr>
      <w:tr w:rsidR="00320EF0" w:rsidTr="00302911">
        <w:trPr>
          <w:trHeight w:val="420"/>
        </w:trPr>
        <w:tc>
          <w:tcPr>
            <w:tcW w:w="2145" w:type="dxa"/>
            <w:vMerge w:val="restart"/>
            <w:shd w:val="clear" w:color="auto" w:fill="auto"/>
            <w:tcMar>
              <w:top w:w="100" w:type="dxa"/>
              <w:left w:w="100" w:type="dxa"/>
              <w:bottom w:w="100" w:type="dxa"/>
              <w:right w:w="100" w:type="dxa"/>
            </w:tcMar>
          </w:tcPr>
          <w:p w:rsidR="00320EF0" w:rsidRDefault="00320EF0" w:rsidP="00302911">
            <w:pPr>
              <w:widowControl w:val="0"/>
              <w:spacing w:line="240" w:lineRule="auto"/>
            </w:pPr>
            <w:r>
              <w:t xml:space="preserve">Example: </w:t>
            </w:r>
          </w:p>
          <w:p w:rsidR="00320EF0" w:rsidRDefault="00320EF0" w:rsidP="00302911">
            <w:pPr>
              <w:widowControl w:val="0"/>
              <w:spacing w:line="240" w:lineRule="auto"/>
              <w:rPr>
                <w:i/>
                <w:color w:val="1155CC"/>
              </w:rPr>
            </w:pPr>
          </w:p>
          <w:p w:rsidR="00320EF0" w:rsidRDefault="00320EF0" w:rsidP="00302911">
            <w:pPr>
              <w:widowControl w:val="0"/>
              <w:spacing w:line="240" w:lineRule="auto"/>
              <w:rPr>
                <w:i/>
                <w:color w:val="1155CC"/>
              </w:rPr>
            </w:pPr>
            <w:r>
              <w:rPr>
                <w:i/>
                <w:color w:val="1155CC"/>
              </w:rPr>
              <w:t>Students</w:t>
            </w: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 xml:space="preserve">Students who are first-in-family </w:t>
            </w: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external other than work study students</w:t>
            </w: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b/>
                <w:i/>
                <w:color w:val="1155CC"/>
                <w:sz w:val="18"/>
                <w:szCs w:val="18"/>
              </w:rPr>
              <w:t>yes</w:t>
            </w:r>
            <w:r>
              <w:rPr>
                <w:i/>
                <w:color w:val="1155CC"/>
                <w:sz w:val="18"/>
                <w:szCs w:val="18"/>
              </w:rPr>
              <w:t>, focus groups that inspired the current project; participants in current project</w:t>
            </w:r>
          </w:p>
        </w:tc>
        <w:tc>
          <w:tcPr>
            <w:tcW w:w="2985" w:type="dxa"/>
            <w:shd w:val="clear" w:color="auto" w:fill="auto"/>
            <w:tcMar>
              <w:top w:w="100" w:type="dxa"/>
              <w:left w:w="100" w:type="dxa"/>
              <w:bottom w:w="100" w:type="dxa"/>
              <w:right w:w="100" w:type="dxa"/>
            </w:tcMar>
          </w:tcPr>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Affordability</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Access to resources</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Desire for connection with faculty and academic supports</w:t>
            </w: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Students with Pell-grants</w:t>
            </w: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external other than work study students</w:t>
            </w: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b/>
                <w:i/>
                <w:color w:val="1155CC"/>
                <w:sz w:val="18"/>
                <w:szCs w:val="18"/>
              </w:rPr>
              <w:t>no</w:t>
            </w:r>
            <w:r>
              <w:rPr>
                <w:i/>
                <w:color w:val="1155CC"/>
                <w:sz w:val="18"/>
                <w:szCs w:val="18"/>
              </w:rPr>
              <w:t xml:space="preserve">, unless cross over with first-in-family; </w:t>
            </w:r>
            <w:r>
              <w:rPr>
                <w:b/>
                <w:i/>
                <w:color w:val="1155CC"/>
                <w:sz w:val="18"/>
                <w:szCs w:val="18"/>
              </w:rPr>
              <w:t xml:space="preserve">not </w:t>
            </w:r>
            <w:r>
              <w:rPr>
                <w:i/>
                <w:color w:val="1155CC"/>
                <w:sz w:val="18"/>
                <w:szCs w:val="18"/>
              </w:rPr>
              <w:t xml:space="preserve">participants in current project </w:t>
            </w:r>
          </w:p>
        </w:tc>
        <w:tc>
          <w:tcPr>
            <w:tcW w:w="2985" w:type="dxa"/>
            <w:shd w:val="clear" w:color="auto" w:fill="auto"/>
            <w:tcMar>
              <w:top w:w="100" w:type="dxa"/>
              <w:left w:w="100" w:type="dxa"/>
              <w:bottom w:w="100" w:type="dxa"/>
              <w:right w:w="100" w:type="dxa"/>
            </w:tcMar>
          </w:tcPr>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Affordability</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Access to resources</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Need to keep qualifying GPA</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Desire for connection with faculty and academic supports</w:t>
            </w: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Students in STEM disciplines</w:t>
            </w: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external other than work study students</w:t>
            </w: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rPr>
                <w:sz w:val="18"/>
                <w:szCs w:val="18"/>
              </w:rPr>
            </w:pPr>
            <w:r>
              <w:rPr>
                <w:b/>
                <w:i/>
                <w:color w:val="1155CC"/>
                <w:sz w:val="18"/>
                <w:szCs w:val="18"/>
              </w:rPr>
              <w:t>no</w:t>
            </w:r>
            <w:r>
              <w:rPr>
                <w:i/>
                <w:color w:val="1155CC"/>
                <w:sz w:val="18"/>
                <w:szCs w:val="18"/>
              </w:rPr>
              <w:t>, unless cross over with first-in-family; participants in current project</w:t>
            </w:r>
          </w:p>
        </w:tc>
        <w:tc>
          <w:tcPr>
            <w:tcW w:w="2985" w:type="dxa"/>
            <w:shd w:val="clear" w:color="auto" w:fill="auto"/>
            <w:tcMar>
              <w:top w:w="100" w:type="dxa"/>
              <w:left w:w="100" w:type="dxa"/>
              <w:bottom w:w="100" w:type="dxa"/>
              <w:right w:w="100" w:type="dxa"/>
            </w:tcMar>
          </w:tcPr>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Access to disciplinary resources</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Desire for connection with faculty and academic supports</w:t>
            </w: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Students in IT-related co-</w:t>
            </w:r>
            <w:proofErr w:type="spellStart"/>
            <w:r>
              <w:rPr>
                <w:i/>
                <w:color w:val="1155CC"/>
                <w:sz w:val="18"/>
                <w:szCs w:val="18"/>
              </w:rPr>
              <w:t>curriculars</w:t>
            </w:r>
            <w:proofErr w:type="spellEnd"/>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rPr>
                <w:sz w:val="18"/>
                <w:szCs w:val="18"/>
              </w:rPr>
            </w:pPr>
            <w:r>
              <w:rPr>
                <w:i/>
                <w:color w:val="1155CC"/>
                <w:sz w:val="18"/>
                <w:szCs w:val="18"/>
              </w:rPr>
              <w:t>external other than work study students</w:t>
            </w: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rPr>
                <w:sz w:val="18"/>
                <w:szCs w:val="18"/>
              </w:rPr>
            </w:pPr>
            <w:r>
              <w:rPr>
                <w:b/>
                <w:i/>
                <w:color w:val="1155CC"/>
                <w:sz w:val="18"/>
                <w:szCs w:val="18"/>
              </w:rPr>
              <w:t>no</w:t>
            </w:r>
            <w:r>
              <w:rPr>
                <w:i/>
                <w:color w:val="1155CC"/>
                <w:sz w:val="18"/>
                <w:szCs w:val="18"/>
              </w:rPr>
              <w:t xml:space="preserve">, unless cross over with first-in-family; </w:t>
            </w:r>
            <w:r>
              <w:rPr>
                <w:b/>
                <w:i/>
                <w:color w:val="1155CC"/>
                <w:sz w:val="18"/>
                <w:szCs w:val="18"/>
              </w:rPr>
              <w:t xml:space="preserve">not </w:t>
            </w:r>
            <w:r>
              <w:rPr>
                <w:i/>
                <w:color w:val="1155CC"/>
                <w:sz w:val="18"/>
                <w:szCs w:val="18"/>
              </w:rPr>
              <w:t xml:space="preserve">participants in current project </w:t>
            </w:r>
          </w:p>
        </w:tc>
        <w:tc>
          <w:tcPr>
            <w:tcW w:w="2985" w:type="dxa"/>
            <w:shd w:val="clear" w:color="auto" w:fill="auto"/>
            <w:tcMar>
              <w:top w:w="100" w:type="dxa"/>
              <w:left w:w="100" w:type="dxa"/>
              <w:bottom w:w="100" w:type="dxa"/>
              <w:right w:w="100" w:type="dxa"/>
            </w:tcMar>
          </w:tcPr>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Access to IT resources</w:t>
            </w: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rPr>
                <w:i/>
                <w:color w:val="1155CC"/>
                <w:sz w:val="18"/>
                <w:szCs w:val="18"/>
              </w:rPr>
            </w:pPr>
            <w:r>
              <w:rPr>
                <w:i/>
                <w:color w:val="1155CC"/>
                <w:sz w:val="18"/>
                <w:szCs w:val="18"/>
              </w:rPr>
              <w:t>Students completing internships</w:t>
            </w: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rPr>
                <w:sz w:val="18"/>
                <w:szCs w:val="18"/>
              </w:rPr>
            </w:pPr>
            <w:r>
              <w:rPr>
                <w:i/>
                <w:color w:val="1155CC"/>
                <w:sz w:val="18"/>
                <w:szCs w:val="18"/>
              </w:rPr>
              <w:t>external other than work study students</w:t>
            </w: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rPr>
                <w:sz w:val="18"/>
                <w:szCs w:val="18"/>
              </w:rPr>
            </w:pPr>
            <w:r>
              <w:rPr>
                <w:b/>
                <w:i/>
                <w:color w:val="1155CC"/>
                <w:sz w:val="18"/>
                <w:szCs w:val="18"/>
              </w:rPr>
              <w:t>no</w:t>
            </w:r>
            <w:r>
              <w:rPr>
                <w:i/>
                <w:color w:val="1155CC"/>
                <w:sz w:val="18"/>
                <w:szCs w:val="18"/>
              </w:rPr>
              <w:t xml:space="preserve">, unless cross over with first-in-family; </w:t>
            </w:r>
            <w:r>
              <w:rPr>
                <w:b/>
                <w:i/>
                <w:color w:val="1155CC"/>
                <w:sz w:val="18"/>
                <w:szCs w:val="18"/>
              </w:rPr>
              <w:t xml:space="preserve">not </w:t>
            </w:r>
            <w:r>
              <w:rPr>
                <w:i/>
                <w:color w:val="1155CC"/>
                <w:sz w:val="18"/>
                <w:szCs w:val="18"/>
              </w:rPr>
              <w:t xml:space="preserve">participants in current project </w:t>
            </w:r>
          </w:p>
        </w:tc>
        <w:tc>
          <w:tcPr>
            <w:tcW w:w="2985" w:type="dxa"/>
            <w:shd w:val="clear" w:color="auto" w:fill="auto"/>
            <w:tcMar>
              <w:top w:w="100" w:type="dxa"/>
              <w:left w:w="100" w:type="dxa"/>
              <w:bottom w:w="100" w:type="dxa"/>
              <w:right w:w="100" w:type="dxa"/>
            </w:tcMar>
          </w:tcPr>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Access to employer-related resources</w:t>
            </w:r>
          </w:p>
          <w:p w:rsidR="00320EF0" w:rsidRDefault="00320EF0" w:rsidP="00320EF0">
            <w:pPr>
              <w:widowControl w:val="0"/>
              <w:numPr>
                <w:ilvl w:val="0"/>
                <w:numId w:val="13"/>
              </w:numPr>
              <w:spacing w:after="0" w:line="240" w:lineRule="auto"/>
              <w:ind w:left="360"/>
              <w:rPr>
                <w:i/>
                <w:color w:val="1155CC"/>
                <w:sz w:val="18"/>
                <w:szCs w:val="18"/>
              </w:rPr>
            </w:pPr>
            <w:r>
              <w:rPr>
                <w:i/>
                <w:color w:val="1155CC"/>
                <w:sz w:val="18"/>
                <w:szCs w:val="18"/>
              </w:rPr>
              <w:t>Need for work-place related supports</w:t>
            </w:r>
          </w:p>
        </w:tc>
      </w:tr>
      <w:tr w:rsidR="00320EF0" w:rsidTr="00302911">
        <w:trPr>
          <w:trHeight w:val="420"/>
        </w:trPr>
        <w:tc>
          <w:tcPr>
            <w:tcW w:w="2145" w:type="dxa"/>
            <w:vMerge w:val="restart"/>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2985" w:type="dxa"/>
            <w:shd w:val="clear" w:color="auto" w:fill="auto"/>
            <w:tcMar>
              <w:top w:w="100" w:type="dxa"/>
              <w:left w:w="100" w:type="dxa"/>
              <w:bottom w:w="100" w:type="dxa"/>
              <w:right w:w="100" w:type="dxa"/>
            </w:tcMar>
          </w:tcPr>
          <w:p w:rsidR="00320EF0" w:rsidRDefault="00320EF0" w:rsidP="00302911">
            <w:pPr>
              <w:widowControl w:val="0"/>
              <w:spacing w:line="240" w:lineRule="auto"/>
            </w:pP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2985" w:type="dxa"/>
            <w:shd w:val="clear" w:color="auto" w:fill="auto"/>
            <w:tcMar>
              <w:top w:w="100" w:type="dxa"/>
              <w:left w:w="100" w:type="dxa"/>
              <w:bottom w:w="100" w:type="dxa"/>
              <w:right w:w="100" w:type="dxa"/>
            </w:tcMar>
          </w:tcPr>
          <w:p w:rsidR="00320EF0" w:rsidRDefault="00320EF0" w:rsidP="00302911">
            <w:pPr>
              <w:widowControl w:val="0"/>
              <w:spacing w:line="240" w:lineRule="auto"/>
            </w:pP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2985" w:type="dxa"/>
            <w:shd w:val="clear" w:color="auto" w:fill="auto"/>
            <w:tcMar>
              <w:top w:w="100" w:type="dxa"/>
              <w:left w:w="100" w:type="dxa"/>
              <w:bottom w:w="100" w:type="dxa"/>
              <w:right w:w="100" w:type="dxa"/>
            </w:tcMar>
          </w:tcPr>
          <w:p w:rsidR="00320EF0" w:rsidRDefault="00320EF0" w:rsidP="00302911">
            <w:pPr>
              <w:widowControl w:val="0"/>
              <w:spacing w:line="240" w:lineRule="auto"/>
            </w:pP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2985" w:type="dxa"/>
            <w:shd w:val="clear" w:color="auto" w:fill="auto"/>
            <w:tcMar>
              <w:top w:w="100" w:type="dxa"/>
              <w:left w:w="100" w:type="dxa"/>
              <w:bottom w:w="100" w:type="dxa"/>
              <w:right w:w="100" w:type="dxa"/>
            </w:tcMar>
          </w:tcPr>
          <w:p w:rsidR="00320EF0" w:rsidRDefault="00320EF0" w:rsidP="00302911">
            <w:pPr>
              <w:widowControl w:val="0"/>
              <w:spacing w:line="240" w:lineRule="auto"/>
            </w:pPr>
          </w:p>
        </w:tc>
      </w:tr>
      <w:tr w:rsidR="00320EF0" w:rsidTr="00302911">
        <w:trPr>
          <w:trHeight w:val="420"/>
        </w:trPr>
        <w:tc>
          <w:tcPr>
            <w:tcW w:w="2145"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5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1980" w:type="dxa"/>
            <w:shd w:val="clear" w:color="auto" w:fill="auto"/>
            <w:tcMar>
              <w:top w:w="100" w:type="dxa"/>
              <w:left w:w="100" w:type="dxa"/>
              <w:bottom w:w="100" w:type="dxa"/>
              <w:right w:w="100" w:type="dxa"/>
            </w:tcMar>
          </w:tcPr>
          <w:p w:rsidR="00320EF0" w:rsidRDefault="00320EF0" w:rsidP="00302911">
            <w:pPr>
              <w:widowControl w:val="0"/>
              <w:spacing w:line="240" w:lineRule="auto"/>
            </w:pPr>
          </w:p>
        </w:tc>
        <w:tc>
          <w:tcPr>
            <w:tcW w:w="2985" w:type="dxa"/>
            <w:shd w:val="clear" w:color="auto" w:fill="auto"/>
            <w:tcMar>
              <w:top w:w="100" w:type="dxa"/>
              <w:left w:w="100" w:type="dxa"/>
              <w:bottom w:w="100" w:type="dxa"/>
              <w:right w:w="100" w:type="dxa"/>
            </w:tcMar>
          </w:tcPr>
          <w:p w:rsidR="00320EF0" w:rsidRDefault="00320EF0" w:rsidP="00302911">
            <w:pPr>
              <w:widowControl w:val="0"/>
              <w:spacing w:line="240" w:lineRule="auto"/>
            </w:pPr>
          </w:p>
        </w:tc>
      </w:tr>
    </w:tbl>
    <w:p w:rsidR="00412C85" w:rsidRDefault="000D22B2" w:rsidP="00994E53">
      <w:pPr>
        <w:pStyle w:val="Heading2-spacebefore"/>
      </w:pPr>
      <w:r>
        <w:t>C</w:t>
      </w:r>
      <w:r w:rsidR="00320EF0">
        <w:t>rafting Messages</w:t>
      </w:r>
    </w:p>
    <w:p w:rsidR="00320EF0" w:rsidRDefault="00320EF0" w:rsidP="00320EF0">
      <w:r>
        <w:t xml:space="preserve">Library assessment projects can become sprawling and so detailed that an overarching message </w:t>
      </w:r>
      <w:proofErr w:type="gramStart"/>
      <w:r>
        <w:t>can be clouded</w:t>
      </w:r>
      <w:proofErr w:type="gramEnd"/>
      <w:r>
        <w:t xml:space="preserve">. In communicating with stakeholders, </w:t>
      </w:r>
      <w:proofErr w:type="gramStart"/>
      <w:r>
        <w:t>it’s</w:t>
      </w:r>
      <w:proofErr w:type="gramEnd"/>
      <w:r>
        <w:t xml:space="preserve"> ideal to have a concise, foundational idea of the message to be conveyed. Crafting positioning statements, tailoring key messages, bolstering with proof points, and selecting appropriate vehicles can make complex communications clearer, more concise, and more consumable.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320EF0" w:rsidTr="00302911">
        <w:tc>
          <w:tcPr>
            <w:tcW w:w="2700" w:type="dxa"/>
            <w:shd w:val="clear" w:color="auto" w:fill="C9DAF8"/>
            <w:tcMar>
              <w:top w:w="100" w:type="dxa"/>
              <w:left w:w="100" w:type="dxa"/>
              <w:bottom w:w="100" w:type="dxa"/>
              <w:right w:w="100" w:type="dxa"/>
            </w:tcMar>
          </w:tcPr>
          <w:p w:rsidR="00320EF0" w:rsidRDefault="00320EF0" w:rsidP="00302911">
            <w:pPr>
              <w:rPr>
                <w:b/>
                <w:sz w:val="20"/>
                <w:szCs w:val="20"/>
              </w:rPr>
            </w:pPr>
            <w:r>
              <w:rPr>
                <w:b/>
                <w:sz w:val="20"/>
                <w:szCs w:val="20"/>
              </w:rPr>
              <w:t>What is the positioning statement for the assessment project at hand?</w:t>
            </w:r>
          </w:p>
        </w:tc>
        <w:tc>
          <w:tcPr>
            <w:tcW w:w="2700" w:type="dxa"/>
            <w:shd w:val="clear" w:color="auto" w:fill="C9DAF8"/>
            <w:tcMar>
              <w:top w:w="100" w:type="dxa"/>
              <w:left w:w="100" w:type="dxa"/>
              <w:bottom w:w="100" w:type="dxa"/>
              <w:right w:w="100" w:type="dxa"/>
            </w:tcMar>
          </w:tcPr>
          <w:p w:rsidR="00320EF0" w:rsidRDefault="00320EF0" w:rsidP="00302911">
            <w:pPr>
              <w:rPr>
                <w:b/>
                <w:sz w:val="20"/>
                <w:szCs w:val="20"/>
              </w:rPr>
            </w:pPr>
            <w:r>
              <w:rPr>
                <w:b/>
                <w:sz w:val="20"/>
                <w:szCs w:val="20"/>
              </w:rPr>
              <w:t>For the targeted/segmented audiences identified in the chart above, what are the key messages for each audience?</w:t>
            </w:r>
          </w:p>
        </w:tc>
        <w:tc>
          <w:tcPr>
            <w:tcW w:w="2700"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What proof points can bolster and underscore the key messages for each audience?</w:t>
            </w:r>
          </w:p>
        </w:tc>
        <w:tc>
          <w:tcPr>
            <w:tcW w:w="2700" w:type="dxa"/>
            <w:shd w:val="clear" w:color="auto" w:fill="C9DAF8"/>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rPr>
                <w:b/>
                <w:sz w:val="20"/>
                <w:szCs w:val="20"/>
              </w:rPr>
            </w:pPr>
            <w:r>
              <w:rPr>
                <w:b/>
                <w:sz w:val="20"/>
                <w:szCs w:val="20"/>
              </w:rPr>
              <w:t>What vehicles will best convey these key messages and proof points for each audience?</w:t>
            </w:r>
          </w:p>
        </w:tc>
      </w:tr>
      <w:tr w:rsidR="00320EF0" w:rsidTr="00302911">
        <w:trPr>
          <w:trHeight w:val="420"/>
        </w:trPr>
        <w:tc>
          <w:tcPr>
            <w:tcW w:w="2700" w:type="dxa"/>
            <w:vMerge w:val="restart"/>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r>
      <w:tr w:rsidR="00320EF0" w:rsidTr="00302911">
        <w:trPr>
          <w:trHeight w:val="420"/>
        </w:trPr>
        <w:tc>
          <w:tcPr>
            <w:tcW w:w="2700"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r>
      <w:tr w:rsidR="00320EF0" w:rsidTr="00302911">
        <w:trPr>
          <w:trHeight w:val="420"/>
        </w:trPr>
        <w:tc>
          <w:tcPr>
            <w:tcW w:w="2700"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r>
      <w:tr w:rsidR="00320EF0" w:rsidTr="00302911">
        <w:trPr>
          <w:trHeight w:val="420"/>
        </w:trPr>
        <w:tc>
          <w:tcPr>
            <w:tcW w:w="2700"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r>
      <w:tr w:rsidR="00320EF0" w:rsidTr="00302911">
        <w:trPr>
          <w:trHeight w:val="420"/>
        </w:trPr>
        <w:tc>
          <w:tcPr>
            <w:tcW w:w="2700" w:type="dxa"/>
            <w:vMerge/>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20EF0">
            <w:pPr>
              <w:widowControl w:val="0"/>
              <w:pBdr>
                <w:top w:val="nil"/>
                <w:left w:val="nil"/>
                <w:bottom w:val="nil"/>
                <w:right w:val="nil"/>
                <w:between w:val="nil"/>
              </w:pBdr>
              <w:spacing w:line="240" w:lineRule="auto"/>
              <w:jc w:val="right"/>
            </w:pPr>
            <w:bookmarkStart w:id="0" w:name="_GoBack"/>
            <w:bookmarkEnd w:id="0"/>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c>
          <w:tcPr>
            <w:tcW w:w="2700" w:type="dxa"/>
            <w:shd w:val="clear" w:color="auto" w:fill="auto"/>
            <w:tcMar>
              <w:top w:w="100" w:type="dxa"/>
              <w:left w:w="100" w:type="dxa"/>
              <w:bottom w:w="100" w:type="dxa"/>
              <w:right w:w="100" w:type="dxa"/>
            </w:tcMar>
          </w:tcPr>
          <w:p w:rsidR="00320EF0" w:rsidRDefault="00320EF0" w:rsidP="00302911">
            <w:pPr>
              <w:widowControl w:val="0"/>
              <w:pBdr>
                <w:top w:val="nil"/>
                <w:left w:val="nil"/>
                <w:bottom w:val="nil"/>
                <w:right w:val="nil"/>
                <w:between w:val="nil"/>
              </w:pBdr>
              <w:spacing w:line="240" w:lineRule="auto"/>
            </w:pPr>
          </w:p>
        </w:tc>
      </w:tr>
    </w:tbl>
    <w:p w:rsidR="00412C85" w:rsidRDefault="00412C85" w:rsidP="00320EF0">
      <w:pPr>
        <w:pStyle w:val="ListNumber2"/>
        <w:numPr>
          <w:ilvl w:val="0"/>
          <w:numId w:val="0"/>
        </w:numPr>
      </w:pPr>
    </w:p>
    <w:sectPr w:rsidR="00412C85" w:rsidSect="00320EF0">
      <w:pgSz w:w="12240" w:h="15840"/>
      <w:pgMar w:top="720" w:right="720" w:bottom="63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181" w:rsidRDefault="00191181" w:rsidP="00320EF0">
      <w:pPr>
        <w:spacing w:after="0" w:line="240" w:lineRule="auto"/>
      </w:pPr>
      <w:r>
        <w:separator/>
      </w:r>
    </w:p>
  </w:endnote>
  <w:endnote w:type="continuationSeparator" w:id="0">
    <w:p w:rsidR="00191181" w:rsidRDefault="00191181" w:rsidP="0032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Text G2">
    <w:altName w:val="Calibri"/>
    <w:panose1 w:val="0200060307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181" w:rsidRDefault="00191181" w:rsidP="00320EF0">
      <w:pPr>
        <w:spacing w:after="0" w:line="240" w:lineRule="auto"/>
      </w:pPr>
      <w:r>
        <w:separator/>
      </w:r>
    </w:p>
  </w:footnote>
  <w:footnote w:type="continuationSeparator" w:id="0">
    <w:p w:rsidR="00191181" w:rsidRDefault="00191181" w:rsidP="00320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3A2E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9AB4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D49B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0616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3482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0F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A041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EE5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4645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36D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26DAC"/>
    <w:multiLevelType w:val="multilevel"/>
    <w:tmpl w:val="5DC4B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F32E8C"/>
    <w:multiLevelType w:val="multilevel"/>
    <w:tmpl w:val="EAFC58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F0"/>
    <w:rsid w:val="000D22B2"/>
    <w:rsid w:val="00191181"/>
    <w:rsid w:val="002C6C55"/>
    <w:rsid w:val="00320EF0"/>
    <w:rsid w:val="00412C85"/>
    <w:rsid w:val="00994E53"/>
    <w:rsid w:val="00A33ED1"/>
    <w:rsid w:val="00F4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9B73"/>
  <w15:docId w15:val="{18C1683B-CF5D-4FAE-9DD7-082D7B7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0EF0"/>
    <w:pPr>
      <w:spacing w:after="240"/>
    </w:pPr>
  </w:style>
  <w:style w:type="paragraph" w:styleId="Heading1">
    <w:name w:val="heading 1"/>
    <w:basedOn w:val="Normal"/>
    <w:next w:val="Normal"/>
    <w:rsid w:val="00994E53"/>
    <w:pPr>
      <w:spacing w:before="240"/>
      <w:jc w:val="center"/>
      <w:outlineLvl w:val="0"/>
    </w:pPr>
    <w:rPr>
      <w:rFonts w:ascii="Mercury Text G2" w:eastAsia="Mercury Text G2" w:hAnsi="Mercury Text G2" w:cs="Mercury Text G2"/>
      <w:b/>
      <w:sz w:val="32"/>
      <w:szCs w:val="32"/>
    </w:rPr>
  </w:style>
  <w:style w:type="paragraph" w:styleId="Heading2">
    <w:name w:val="heading 2"/>
    <w:basedOn w:val="Normal"/>
    <w:next w:val="Normal"/>
    <w:rsid w:val="00994E53"/>
    <w:pPr>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Number2">
    <w:name w:val="List Number 2"/>
    <w:basedOn w:val="Normal"/>
    <w:uiPriority w:val="99"/>
    <w:unhideWhenUsed/>
    <w:rsid w:val="00994E53"/>
    <w:pPr>
      <w:numPr>
        <w:numId w:val="8"/>
      </w:numPr>
    </w:pPr>
  </w:style>
  <w:style w:type="paragraph" w:styleId="ListBullet3">
    <w:name w:val="List Bullet 3"/>
    <w:basedOn w:val="Normal"/>
    <w:uiPriority w:val="99"/>
    <w:unhideWhenUsed/>
    <w:rsid w:val="00994E53"/>
    <w:pPr>
      <w:numPr>
        <w:numId w:val="4"/>
      </w:numPr>
      <w:ind w:left="1440"/>
      <w:contextualSpacing/>
    </w:pPr>
  </w:style>
  <w:style w:type="paragraph" w:customStyle="1" w:styleId="Heading2-spacebefore">
    <w:name w:val="Heading 2 - space before"/>
    <w:basedOn w:val="Heading2"/>
    <w:rsid w:val="00994E53"/>
    <w:pPr>
      <w:spacing w:before="240"/>
    </w:pPr>
  </w:style>
  <w:style w:type="paragraph" w:customStyle="1" w:styleId="Normal-nospaceafter">
    <w:name w:val="Normal - no space after"/>
    <w:basedOn w:val="Normal"/>
    <w:rsid w:val="00994E53"/>
    <w:pPr>
      <w:widowControl w:val="0"/>
      <w:pBdr>
        <w:top w:val="nil"/>
        <w:left w:val="nil"/>
        <w:bottom w:val="nil"/>
        <w:right w:val="nil"/>
        <w:between w:val="nil"/>
      </w:pBdr>
      <w:spacing w:after="0" w:line="240" w:lineRule="auto"/>
    </w:pPr>
  </w:style>
  <w:style w:type="paragraph" w:customStyle="1" w:styleId="Normal-spacebefore">
    <w:name w:val="Normal - space before"/>
    <w:basedOn w:val="Normal"/>
    <w:rsid w:val="002C6C55"/>
    <w:pPr>
      <w:spacing w:before="240"/>
    </w:pPr>
  </w:style>
  <w:style w:type="paragraph" w:styleId="Header">
    <w:name w:val="header"/>
    <w:basedOn w:val="Normal"/>
    <w:link w:val="HeaderChar"/>
    <w:uiPriority w:val="99"/>
    <w:unhideWhenUsed/>
    <w:rsid w:val="00320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EF0"/>
  </w:style>
  <w:style w:type="paragraph" w:styleId="Footer">
    <w:name w:val="footer"/>
    <w:basedOn w:val="Normal"/>
    <w:link w:val="FooterChar"/>
    <w:uiPriority w:val="99"/>
    <w:unhideWhenUsed/>
    <w:rsid w:val="00320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admin\Desktop\Worksheet-Template-Verti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Worksheet-Template-Vertical</Template>
  <TotalTime>5</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Identifying Audiences and Messages</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Audiences and Messages</dc:title>
  <dc:subject>Worksheet accompanying the "Communicating Results: Identifying Audiences &amp; Messages" video, part of the Research and Assessment Cycle Toolkit.</dc:subject>
  <dc:creator>Megan Oakleaf</dc:creator>
  <cp:keywords>library assessment; library assessment results; stakeholders; identifying audiences; crafting messages; positioning statement; key messages</cp:keywords>
  <cp:lastModifiedBy>arl-admin</cp:lastModifiedBy>
  <cp:revision>2</cp:revision>
  <dcterms:created xsi:type="dcterms:W3CDTF">2022-09-06T18:53:00Z</dcterms:created>
  <dcterms:modified xsi:type="dcterms:W3CDTF">2022-09-06T18:59:00Z</dcterms:modified>
</cp:coreProperties>
</file>